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ontserrat" w:hAnsi="Montserrat" w:eastAsia="Montserrat" w:cs="Montserrat"/>
          <w:b/>
          <w:i w:val="0"/>
          <w:caps/>
          <w:color w:val="666666"/>
          <w:sz w:val="16"/>
        </w:rPr>
        <w:t>Template T14</w:t>
      </w:r>
      <w:r>
        <w:rPr>
          <w:rFonts w:ascii="Montserrat" w:hAnsi="Montserrat" w:eastAsia="Montserrat" w:cs="Montserrat"/>
          <w:b/>
          <w:i w:val="0"/>
          <w:caps/>
          <w:sz w:val="16"/>
        </w:rPr>
        <w:t xml:space="preserve">   ·   Voorbeeld</w:t>
      </w:r>
    </w:p>
    <w:p>
      <w:pPr>
        <w:spacing w:before="0" w:after="80"/>
      </w:pPr>
      <w:r>
        <w:rPr>
          <w:rFonts w:ascii="Montserrat" w:hAnsi="Montserrat" w:eastAsia="Montserrat" w:cs="Montserrat"/>
          <w:b/>
          <w:i w:val="0"/>
          <w:sz w:val="34"/>
        </w:rPr>
        <w:t>Kwartaalcheck</w:t>
      </w:r>
    </w:p>
    <w:p>
      <w:pPr>
        <w:spacing w:before="0" w:after="80"/>
      </w:pPr>
      <w:r>
        <w:rPr>
          <w:rFonts w:ascii="Source Sans 3" w:hAnsi="Source Sans 3" w:eastAsia="Source Sans 3" w:cs="Source Sans 3"/>
          <w:b w:val="0"/>
          <w:i w:val="0"/>
          <w:sz w:val="19"/>
        </w:rPr>
        <w:t>Eén uur per kwartaal: wet, leveranciers, eigen resultaten, en dan je regels bijwerken. Ingevuld voorbeeld in 12.2; de download bevat ook een variant voor een grotere organisatie.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6E6E6"/>
            <w:tcMar>
              <w:top w:w="60" w:type="dxa"/>
              <w:bottom w:w="6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aps/>
                <w:sz w:val="16"/>
              </w:rPr>
              <w:t xml:space="preserve">Voorbeeld 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8"/>
              </w:rPr>
              <w:t>Ingevuld voor Brakelaar Installatietechniek, een fictief voorbeeldbedrijf. Alle namen en cijfers zijn verzonnen (voorbeeldcijfers).</w:t>
            </w:r>
          </w:p>
        </w:tc>
      </w:tr>
    </w:tbl>
    <w:p>
      <w:pPr>
        <w:spacing w:before="80" w:after="0"/>
      </w:pPr>
      <w:r>
        <w:rPr>
          <w:rFonts w:ascii="Source Sans 3" w:hAnsi="Source Sans 3" w:eastAsia="Source Sans 3" w:cs="Source Sans 3"/>
          <w:b/>
          <w:i w:val="0"/>
          <w:sz w:val="20"/>
        </w:rPr>
        <w:t>Brakelaar Installatietechniek, eerste kwartaal (januari)</w:t>
      </w:r>
    </w:p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1  </w:t>
      </w:r>
      <w:r>
        <w:rPr>
          <w:rFonts w:ascii="Source Sans 3" w:hAnsi="Source Sans 3" w:eastAsia="Source Sans 3" w:cs="Source Sans 3"/>
          <w:b/>
          <w:i w:val="0"/>
          <w:sz w:val="19"/>
        </w:rPr>
        <w:t>Wetgeving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Kijk op deze plekken wat er veranderd is (zie 8.5)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</w:tblPr>
      <w:tblGrid>
        <w:gridCol w:w="4932"/>
        <w:gridCol w:w="4932"/>
      </w:tblGrid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☑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EUR-Lex: tekst van de AI-verordening en de wijzigingen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https://eur-lex.europa.eu/eli/reg/2024/1689/oj/nld  ·  bron: REG-AIA-01, REG-AIA-06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geen wijziging die ons raakt</w:t>
            </w:r>
          </w:p>
        </w:tc>
      </w:tr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☑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Europese Commissie: pagina over de AI-verordening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https://digital-strategy.ec.europa.eu/en/policies/regulatory-framework-ai  ·  bron: REG-AIA-06, REG-AIA-07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bekeken</w:t>
            </w:r>
          </w:p>
        </w:tc>
      </w:tr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☑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Stand van de Uitvoeringswet AI-verordening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https://zoek.officielebekendmakingen.nl/kst-22112-4318.html  ·  bron: REG-NL-01, REG-NL-02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bekeken</w:t>
            </w:r>
          </w:p>
        </w:tc>
      </w:tr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☑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Nieuws van de Autoriteit Persoonsgegevens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https://www.autoriteitpersoonsgegevens.nl/actueel  ·  bron: REG-NL-03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bekeken</w:t>
            </w:r>
          </w:p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2  </w:t>
      </w:r>
      <w:r>
        <w:rPr>
          <w:rFonts w:ascii="Source Sans 3" w:hAnsi="Source Sans 3" w:eastAsia="Source Sans 3" w:cs="Source Sans 3"/>
          <w:b/>
          <w:i w:val="0"/>
          <w:sz w:val="19"/>
        </w:rPr>
        <w:t>AVG-wijzigingen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Is de Digital Omnibus voor de AVG al wet?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</w:tblPr>
      <w:tblGrid>
        <w:gridCol w:w="4932"/>
        <w:gridCol w:w="4932"/>
      </w:tblGrid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☑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Stand van de AVG-voorstellen in de Digital Omnibus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https://oeil.europarl.europa.eu/oeil/en/procedure-file?reference=2025/0360(COD)  ·  bron: REG-GDPR-23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voorstel nog geen wet; niets te doen</w:t>
            </w:r>
          </w:p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3  </w:t>
      </w:r>
      <w:r>
        <w:rPr>
          <w:rFonts w:ascii="Source Sans 3" w:hAnsi="Source Sans 3" w:eastAsia="Source Sans 3" w:cs="Source Sans 3"/>
          <w:b/>
          <w:i w:val="0"/>
          <w:sz w:val="19"/>
        </w:rPr>
        <w:t>Leveranciers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Voorwaarden, prijs en modelwijzigingen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</w:tblPr>
      <w:tblGrid>
        <w:gridCol w:w="4932"/>
        <w:gridCol w:w="4932"/>
      </w:tblGrid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☑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Voorwaarden van je leveranciers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gelijk</w:t>
            </w:r>
          </w:p>
        </w:tc>
      </w:tr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☑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Prijs per gebruiker (T5)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omhoog vanaf volgende maand; T5 bijgewerkt</w:t>
            </w:r>
          </w:p>
        </w:tc>
      </w:tr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☑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Modellen die verdwijnen of veranderen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bron: RSK-38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gelijk</w:t>
            </w:r>
          </w:p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>Eigen resultaten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1020"/>
        <w:gridCol w:w="8844"/>
      </w:tblGrid>
      <w:tr>
        <w:tc>
          <w:tcPr>
            <w:tcW w:type="dxa" w:w="1020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Taak</w:t>
            </w:r>
          </w:p>
        </w:tc>
        <w:tc>
          <w:tcPr>
            <w:tcW w:type="dxa" w:w="884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4  Eigen resultaten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T6 per taak: minuten met AI tegen de nulmeting</w:t>
            </w:r>
          </w:p>
        </w:tc>
      </w:tr>
      <w:tr>
        <w:trPr>
          <w:trHeight w:val="40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Taak 1</w:t>
            </w:r>
          </w:p>
        </w:tc>
        <w:tc>
          <w:tcPr>
            <w:tcW w:type="dxa" w:w="8844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offertes: tijdwinst gelijk aan de vorige meting (T6)</w:t>
            </w:r>
          </w:p>
        </w:tc>
      </w:tr>
      <w:tr>
        <w:trPr>
          <w:trHeight w:val="40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Taak 2</w:t>
            </w:r>
          </w:p>
        </w:tc>
        <w:tc>
          <w:tcPr>
            <w:tcW w:type="dxa" w:w="8844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onderhoudsmails: iets meer winst</w:t>
            </w:r>
          </w:p>
        </w:tc>
      </w:tr>
      <w:tr>
        <w:trPr>
          <w:trHeight w:val="40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Taak 3</w:t>
            </w:r>
          </w:p>
        </w:tc>
        <w:tc>
          <w:tcPr>
            <w:tcW w:type="dxa" w:w="8844"/>
          </w:tcPr>
          <w:p/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5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Spelregels of beleid aanpassen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Ja of nee, en wat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nee</w:t>
                  </w:r>
                </w:p>
              </w:tc>
            </w:tr>
          </w:tbl>
          <w:p/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6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Volgende check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Datum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vrijdag in de eerste week van april</w:t>
                  </w:r>
                </w:p>
              </w:tc>
            </w:tr>
          </w:tbl>
          <w:p/>
        </w:tc>
      </w:tr>
    </w:tbl>
    <w:p>
      <w:r>
        <w:br w:type="page"/>
      </w:r>
    </w:p>
    <w:p>
      <w:pPr>
        <w:spacing w:before="0" w:after="40"/>
      </w:pPr>
      <w:r>
        <w:rPr>
          <w:rFonts w:ascii="Montserrat" w:hAnsi="Montserrat" w:eastAsia="Montserrat" w:cs="Montserrat"/>
          <w:b/>
          <w:i w:val="0"/>
          <w:caps/>
          <w:color w:val="666666"/>
          <w:sz w:val="16"/>
        </w:rPr>
        <w:t>Template T14</w:t>
      </w:r>
      <w:r>
        <w:rPr>
          <w:rFonts w:ascii="Montserrat" w:hAnsi="Montserrat" w:eastAsia="Montserrat" w:cs="Montserrat"/>
          <w:b/>
          <w:i w:val="0"/>
          <w:caps/>
          <w:sz w:val="16"/>
        </w:rPr>
        <w:t xml:space="preserve">   ·   Voorbeeld</w:t>
      </w:r>
    </w:p>
    <w:p>
      <w:pPr>
        <w:spacing w:before="0" w:after="80"/>
      </w:pPr>
      <w:r>
        <w:rPr>
          <w:rFonts w:ascii="Montserrat" w:hAnsi="Montserrat" w:eastAsia="Montserrat" w:cs="Montserrat"/>
          <w:b/>
          <w:i w:val="0"/>
          <w:sz w:val="34"/>
        </w:rPr>
        <w:t>Kwartaalcheck · variant grotere organisatie</w:t>
      </w:r>
    </w:p>
    <w:p>
      <w:pPr>
        <w:spacing w:before="0" w:after="80"/>
      </w:pPr>
      <w:r>
        <w:rPr>
          <w:rFonts w:ascii="Source Sans 3" w:hAnsi="Source Sans 3" w:eastAsia="Source Sans 3" w:cs="Source Sans 3"/>
          <w:b w:val="0"/>
          <w:i w:val="0"/>
          <w:sz w:val="19"/>
        </w:rPr>
        <w:t>Dezelfde check, uitgevoerd door het AI-team van een grotere organisatie. Het team meldt wijzigingen aan de eigenaar van het beleid (T7).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6E6E6"/>
            <w:tcMar>
              <w:top w:w="60" w:type="dxa"/>
              <w:bottom w:w="60" w:type="dxa"/>
              <w:start w:w="100" w:type="dxa"/>
              <w:end w:w="100" w:type="dxa"/>
            </w:tcMar>
          </w:tcPr>
          <w:p>
            <w:r>
              <w:rPr>
                <w:rFonts w:ascii="Montserrat" w:hAnsi="Montserrat" w:eastAsia="Montserrat" w:cs="Montserrat"/>
                <w:b/>
                <w:i w:val="0"/>
                <w:caps/>
                <w:sz w:val="16"/>
              </w:rPr>
              <w:t xml:space="preserve">Voorbeeld 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8"/>
              </w:rPr>
              <w:t>Ingevuld voor Lindewerf Technische Groothandel, een fictief voorbeeldbedrijf. Alle namen en cijfers zijn verzonnen (voorbeeldcijfers).</w:t>
            </w:r>
          </w:p>
        </w:tc>
      </w:tr>
    </w:tbl>
    <w:p>
      <w:pPr>
        <w:spacing w:before="80" w:after="0"/>
      </w:pPr>
      <w:r>
        <w:rPr>
          <w:rFonts w:ascii="Source Sans 3" w:hAnsi="Source Sans 3" w:eastAsia="Source Sans 3" w:cs="Source Sans 3"/>
          <w:b/>
          <w:i w:val="0"/>
          <w:sz w:val="20"/>
        </w:rPr>
        <w:t>Lindewerf Technische Groothandel: Samira Haddou en Bas Kuipers</w:t>
      </w:r>
    </w:p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1  </w:t>
      </w:r>
      <w:r>
        <w:rPr>
          <w:rFonts w:ascii="Source Sans 3" w:hAnsi="Source Sans 3" w:eastAsia="Source Sans 3" w:cs="Source Sans 3"/>
          <w:b/>
          <w:i w:val="0"/>
          <w:sz w:val="19"/>
        </w:rPr>
        <w:t>Wetgeving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Kijk op deze plekken wat er veranderd is (zie 8.5)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</w:tblPr>
      <w:tblGrid>
        <w:gridCol w:w="4932"/>
        <w:gridCol w:w="4932"/>
      </w:tblGrid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☑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EUR-Lex: tekst van de AI-verordening en de wijzigingen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https://eur-lex.europa.eu/eli/reg/2024/1689/oj/nld  ·  bron: REG-AIA-01, REG-AIA-06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geen wijziging</w:t>
            </w:r>
          </w:p>
        </w:tc>
      </w:tr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☑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Europese Commissie: pagina over de AI-verordening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https://digital-strategy.ec.europa.eu/en/policies/regulatory-framework-ai  ·  bron: REG-AIA-06, REG-AIA-07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bekeken</w:t>
            </w:r>
          </w:p>
        </w:tc>
      </w:tr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☑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Stand van de Uitvoeringswet AI-verordening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https://zoek.officielebekendmakingen.nl/kst-22112-4318.html  ·  bron: REG-NL-01, REG-NL-02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nog niet in werking</w:t>
            </w:r>
          </w:p>
        </w:tc>
      </w:tr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☑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Nieuws van de Autoriteit Persoonsgegevens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https://www.autoriteitpersoonsgegevens.nl/actueel  ·  bron: REG-NL-03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bekeken</w:t>
            </w:r>
          </w:p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2  </w:t>
      </w:r>
      <w:r>
        <w:rPr>
          <w:rFonts w:ascii="Source Sans 3" w:hAnsi="Source Sans 3" w:eastAsia="Source Sans 3" w:cs="Source Sans 3"/>
          <w:b/>
          <w:i w:val="0"/>
          <w:sz w:val="19"/>
        </w:rPr>
        <w:t>AVG-wijzigingen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Is de Digital Omnibus voor de AVG al wet?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</w:tblPr>
      <w:tblGrid>
        <w:gridCol w:w="4932"/>
        <w:gridCol w:w="4932"/>
      </w:tblGrid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☑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Stand van de AVG-voorstellen in de Digital Omnibus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https://oeil.europarl.europa.eu/oeil/en/procedure-file?reference=2025/0360(COD)  ·  bron: REG-GDPR-23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nog geen wet</w:t>
            </w:r>
          </w:p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3  </w:t>
      </w:r>
      <w:r>
        <w:rPr>
          <w:rFonts w:ascii="Source Sans 3" w:hAnsi="Source Sans 3" w:eastAsia="Source Sans 3" w:cs="Source Sans 3"/>
          <w:b/>
          <w:i w:val="0"/>
          <w:sz w:val="19"/>
        </w:rPr>
        <w:t>Leveranciers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Voorwaarden, prijs en modelwijzigingen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</w:tblPr>
      <w:tblGrid>
        <w:gridCol w:w="4932"/>
        <w:gridCol w:w="4932"/>
      </w:tblGrid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☑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Voorwaarden van je leveranciers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gelijk</w:t>
            </w:r>
          </w:p>
        </w:tc>
      </w:tr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☑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Prijs per gebruiker (T5)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gelijk</w:t>
            </w:r>
          </w:p>
        </w:tc>
      </w:tr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☑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Modellen die verdwijnen of veranderen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bron: RSK-38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opvolger aangekondigd: vaste prompts getest</w:t>
            </w:r>
          </w:p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>Eigen resultaten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1020"/>
        <w:gridCol w:w="8844"/>
      </w:tblGrid>
      <w:tr>
        <w:tc>
          <w:tcPr>
            <w:tcW w:type="dxa" w:w="1020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Taak</w:t>
            </w:r>
          </w:p>
        </w:tc>
        <w:tc>
          <w:tcPr>
            <w:tcW w:type="dxa" w:w="8844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4  Eigen resultaten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T6 per taak: minuten met AI tegen de nulmeting</w:t>
            </w:r>
          </w:p>
        </w:tc>
      </w:tr>
      <w:tr>
        <w:trPr>
          <w:trHeight w:val="40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Taak 1</w:t>
            </w:r>
          </w:p>
        </w:tc>
        <w:tc>
          <w:tcPr>
            <w:tcW w:type="dxa" w:w="8844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conceptantwoorden (R-01): 7,0 min per mail (nulmeting 9,0)</w:t>
            </w:r>
          </w:p>
        </w:tc>
      </w:tr>
      <w:tr>
        <w:trPr>
          <w:trHeight w:val="40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Taak 2</w:t>
            </w:r>
          </w:p>
        </w:tc>
        <w:tc>
          <w:tcPr>
            <w:tcW w:type="dxa" w:w="8844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productteksten (R-02): steekproef zonder fouten</w:t>
            </w:r>
          </w:p>
        </w:tc>
      </w:tr>
      <w:tr>
        <w:trPr>
          <w:trHeight w:val="40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Taak 3</w:t>
            </w:r>
          </w:p>
        </w:tc>
        <w:tc>
          <w:tcPr>
            <w:tcW w:type="dxa" w:w="8844"/>
          </w:tcPr>
          <w:p>
            <w:r>
              <w:rPr>
                <w:rFonts w:ascii="Source Sans 3" w:hAnsi="Source Sans 3" w:eastAsia="Source Sans 3" w:cs="Source Sans 3"/>
                <w:b w:val="0"/>
                <w:i/>
                <w:color w:val="333333"/>
                <w:sz w:val="20"/>
              </w:rPr>
              <w:t>cv-screening (R-03): in de wacht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5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Spelregels of beleid aanpassen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Ja of nee, en wat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notitie aan Ellen de Ruiter: bijlage B10 bijwerken</w:t>
                  </w:r>
                </w:p>
              </w:tc>
            </w:tr>
          </w:tbl>
          <w:p/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6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Volgende check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Datum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>
                  <w:r>
                    <w:rPr>
                      <w:rFonts w:ascii="Source Sans 3" w:hAnsi="Source Sans 3" w:eastAsia="Source Sans 3" w:cs="Source Sans 3"/>
                      <w:b w:val="0"/>
                      <w:i/>
                      <w:color w:val="333333"/>
                      <w:sz w:val="20"/>
                    </w:rPr>
                    <w:t>eerste week van het volgende kwartaal</w:t>
                  </w:r>
                </w:p>
              </w:tc>
            </w:tr>
          </w:tbl>
          <w:p/>
        </w:tc>
      </w:tr>
    </w:tbl>
    <w:sectPr w:rsidR="00FC693F" w:rsidRPr="0006063C" w:rsidSect="00034616">
      <w:footerReference w:type="default" r:id="rId9"/>
      <w:pgSz w:w="11906" w:h="16838"/>
      <w:pgMar w:top="79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0" w:color="000000"/>
      </w:pBdr>
      <w:tabs>
        <w:tab w:pos="9865" w:val="right"/>
      </w:tabs>
    </w:pPr>
    <w:r>
      <w:rPr>
        <w:rFonts w:ascii="Source Sans 3" w:hAnsi="Source Sans 3" w:eastAsia="Source Sans 3" w:cs="Source Sans 3"/>
        <w:b w:val="0"/>
        <w:i w:val="0"/>
        <w:sz w:val="15"/>
      </w:rPr>
      <w:t>Template T14 · Kwartaalcheck · Zo voer je AI in, Nederlandse editie · Peildatum 2026-10-28 · Download: zovoerjeaiin.nl/T14 · Versie 2026-10</w:t>
    </w:r>
    <w:r>
      <w:rPr>
        <w:rFonts w:ascii="Source Sans 3" w:hAnsi="Source Sans 3" w:eastAsia="Source Sans 3" w:cs="Source Sans 3"/>
        <w:b w:val="0"/>
        <w:i w:val="0"/>
        <w:sz w:val="15"/>
      </w:rPr>
      <w:tab/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PAGE </w:instrText>
      <w:fldChar w:fldCharType="end"/>
    </w:r>
    <w:r>
      <w:rPr>
        <w:rFonts w:ascii="Source Sans 3" w:hAnsi="Source Sans 3" w:eastAsia="Source Sans 3" w:cs="Source Sans 3"/>
        <w:b w:val="0"/>
        <w:i w:val="0"/>
        <w:sz w:val="15"/>
      </w:rPr>
      <w:t>/</w:t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NUMPAGES </w:instrText>
      <w:fldChar w:fldCharType="end"/>
    </w:r>
  </w:p>
  <w:p>
    <w:r>
      <w:rPr>
        <w:rFonts w:ascii="Source Sans 3" w:hAnsi="Source Sans 3" w:eastAsia="Source Sans 3" w:cs="Source Sans 3"/>
        <w:b w:val="0"/>
        <w:i w:val="0"/>
        <w:color w:val="666666"/>
        <w:sz w:val="15"/>
      </w:rPr>
      <w:t>Ingevuld voor Brakelaar Installatietechniek en Lindewerf Technische Groothandel, twee fictieve voorbeeldbedrijven. Alle namen en cijfers zijn verzonnen (voorbeeldcijfers).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Source Sans 3" w:hAnsi="Source Sans 3" w:eastAsia="Source Sans 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T14 Kwartaalcheck (voorbeeld)</dc:title>
  <dc:subject>Zo voer je AI in, Nederlandse editie</dc:subject>
  <dc:creator>Zo voer je AI in</dc:creator>
  <cp:keywords>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