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Montserrat" w:hAnsi="Montserrat" w:eastAsia="Montserrat" w:cs="Montserrat"/>
          <w:b/>
          <w:i w:val="0"/>
          <w:caps/>
          <w:color w:val="666666"/>
          <w:sz w:val="16"/>
        </w:rPr>
        <w:t>Template T10</w:t>
      </w:r>
    </w:p>
    <w:p>
      <w:pPr>
        <w:spacing w:before="0" w:after="80"/>
      </w:pPr>
      <w:r>
        <w:rPr>
          <w:rFonts w:ascii="Montserrat" w:hAnsi="Montserrat" w:eastAsia="Montserrat" w:cs="Montserrat"/>
          <w:b/>
          <w:i w:val="0"/>
          <w:sz w:val="34"/>
        </w:rPr>
        <w:t>AVG- en AI Act-checklist</w:t>
      </w:r>
    </w:p>
    <w:p>
      <w:pPr>
        <w:spacing w:before="0" w:after="80"/>
      </w:pPr>
      <w:r>
        <w:rPr>
          <w:rFonts w:ascii="Source Sans 3" w:hAnsi="Source Sans 3" w:eastAsia="Source Sans 3" w:cs="Source Sans 3"/>
          <w:b w:val="0"/>
          <w:i w:val="0"/>
          <w:sz w:val="19"/>
        </w:rPr>
        <w:t>Per toepassing: bij A beantwoord je de vraag, bij B, C en D kruis je aan of het geregeld is. C alleen als A4 ja is. De download noemt per regel artikel en bron. Ingevuld voorbeeld in 8.4.</w:t>
      </w:r>
    </w:p>
    <w:p>
      <w:pPr>
        <w:keepNext/>
        <w:spacing w:before="160" w:after="40"/>
      </w:pPr>
      <w:r>
        <w:rPr>
          <w:rFonts w:ascii="Montserrat" w:hAnsi="Montserrat" w:eastAsia="Montserrat" w:cs="Montserrat"/>
          <w:b/>
          <w:i w:val="0"/>
          <w:sz w:val="20"/>
        </w:rPr>
        <w:t>A  Rol en risicoklasse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12" w:space="0" w:color="000000"/>
          <w:bottom w:val="single" w:sz="12" w:space="0" w:color="000000"/>
          <w:insideH w:val="single" w:sz="4" w:space="0" w:color="CCCCCC"/>
          <w:left w:val="nil" w:sz="0" w:space="0" w:color="FFFFFF"/>
          <w:right w:val="nil" w:sz="0" w:space="0" w:color="FFFFFF"/>
          <w:insideV w:val="nil" w:sz="0" w:space="0" w:color="FFFFFF"/>
        </w:tblBorders>
      </w:tblPr>
      <w:tblGrid>
        <w:gridCol w:w="567"/>
        <w:gridCol w:w="4082"/>
        <w:gridCol w:w="2268"/>
        <w:gridCol w:w="1474"/>
        <w:gridCol w:w="624"/>
        <w:gridCol w:w="624"/>
        <w:gridCol w:w="624"/>
        <w:gridCol w:w="4535"/>
      </w:tblGrid>
      <w:tr>
        <w:tc>
          <w:tcPr>
            <w:tcW w:type="dxa" w:w="567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Nr</w:t>
            </w:r>
          </w:p>
        </w:tc>
        <w:tc>
          <w:tcPr>
            <w:tcW w:type="dxa" w:w="4082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Vraag of plicht</w:t>
            </w:r>
          </w:p>
        </w:tc>
        <w:tc>
          <w:tcPr>
            <w:tcW w:type="dxa" w:w="2268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Artikel</w:t>
            </w:r>
          </w:p>
        </w:tc>
        <w:tc>
          <w:tcPr>
            <w:tcW w:type="dxa" w:w="1474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Bron-ID</w:t>
            </w:r>
          </w:p>
        </w:tc>
        <w:tc>
          <w:tcPr>
            <w:tcW w:type="dxa" w:w="624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ja</w:t>
            </w:r>
          </w:p>
        </w:tc>
        <w:tc>
          <w:tcPr>
            <w:tcW w:type="dxa" w:w="624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nee</w:t>
            </w:r>
          </w:p>
        </w:tc>
        <w:tc>
          <w:tcPr>
            <w:tcW w:type="dxa" w:w="624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n.v.t.</w:t>
            </w:r>
          </w:p>
        </w:tc>
        <w:tc>
          <w:tcPr>
            <w:tcW w:type="dxa" w:w="4535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E  Bewijs en eigenaar</w:t>
            </w:r>
          </w:p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A1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Zijn we gebruiksverantwoordelijke (we gebruiken het systeem onder eigen verantwoordelijkheid) en geen aanbieder (we ontwikkelen het niet en brengen het niet onder eigen naam op de markt)?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AI-verordening art. 3, punt 3 en 4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REG-AIA-14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/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A2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Worden we toch aanbieder? Dat gebeurt als we onze naam op een hoog-risicosysteem zetten, het wezenlijk wijzigen of een algemeen AI-systeem inzetten voor een hoog-risicotoepassing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AI-verordening art. 25, lid 1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REG-AIA-30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/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A3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Is het een verboden toepassing, zoals emoties van werknemers herkennen?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AI-verordening art. 5, lid 1, onder f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REG-AIA-17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/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A4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Valt de toepassing onder bijlage III, zoals werving en selectie of kredietbeoordeling? Een smalle of voorbereidende taak zonder profilering kan een uitzondering zijn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AI-verordening bijlage III, punt 4a en 5b–c; art. 6, lid 3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REG-AIA-20, REG-AIA-21, REG-AIA-22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/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A5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Geldt een transparantieplicht? Bieden we zelf een chatbot aan onder eigen naam (dan zijn we aanbieder, art. 50, lid 1), of publiceren we deepfakes of AI-tekst over zaken van algemeen belang (art. 50, lid 4)?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AI-verordening art. 50, lid 1 en 4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REG-AIA-33, REG-AIA-34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/>
        </w:tc>
      </w:tr>
    </w:tbl>
    <w:p>
      <w:pPr>
        <w:keepNext/>
        <w:spacing w:before="160" w:after="40"/>
      </w:pPr>
      <w:r>
        <w:rPr>
          <w:rFonts w:ascii="Montserrat" w:hAnsi="Montserrat" w:eastAsia="Montserrat" w:cs="Montserrat"/>
          <w:b/>
          <w:i w:val="0"/>
          <w:sz w:val="20"/>
        </w:rPr>
        <w:t>B  Plichten voor iedereen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12" w:space="0" w:color="000000"/>
          <w:bottom w:val="single" w:sz="12" w:space="0" w:color="000000"/>
          <w:insideH w:val="single" w:sz="4" w:space="0" w:color="CCCCCC"/>
          <w:left w:val="nil" w:sz="0" w:space="0" w:color="FFFFFF"/>
          <w:right w:val="nil" w:sz="0" w:space="0" w:color="FFFFFF"/>
          <w:insideV w:val="nil" w:sz="0" w:space="0" w:color="FFFFFF"/>
        </w:tblBorders>
      </w:tblPr>
      <w:tblGrid>
        <w:gridCol w:w="567"/>
        <w:gridCol w:w="4082"/>
        <w:gridCol w:w="2268"/>
        <w:gridCol w:w="1474"/>
        <w:gridCol w:w="624"/>
        <w:gridCol w:w="624"/>
        <w:gridCol w:w="624"/>
        <w:gridCol w:w="4535"/>
      </w:tblGrid>
      <w:tr>
        <w:tc>
          <w:tcPr>
            <w:tcW w:type="dxa" w:w="567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Nr</w:t>
            </w:r>
          </w:p>
        </w:tc>
        <w:tc>
          <w:tcPr>
            <w:tcW w:type="dxa" w:w="4082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Vraag of plicht</w:t>
            </w:r>
          </w:p>
        </w:tc>
        <w:tc>
          <w:tcPr>
            <w:tcW w:type="dxa" w:w="2268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Artikel</w:t>
            </w:r>
          </w:p>
        </w:tc>
        <w:tc>
          <w:tcPr>
            <w:tcW w:type="dxa" w:w="1474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Bron-ID</w:t>
            </w:r>
          </w:p>
        </w:tc>
        <w:tc>
          <w:tcPr>
            <w:tcW w:type="dxa" w:w="624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ja</w:t>
            </w:r>
          </w:p>
        </w:tc>
        <w:tc>
          <w:tcPr>
            <w:tcW w:type="dxa" w:w="624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nee</w:t>
            </w:r>
          </w:p>
        </w:tc>
        <w:tc>
          <w:tcPr>
            <w:tcW w:type="dxa" w:w="624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n.v.t.</w:t>
            </w:r>
          </w:p>
        </w:tc>
        <w:tc>
          <w:tcPr>
            <w:tcW w:type="dxa" w:w="4535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E  Bewijs en eigenaar</w:t>
            </w:r>
          </w:p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B1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Maatregelen genomen om de AI-geletterdheid te ondersteunen van wie met het systeem werkt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AI-verordening art. 4 (gewijzigd door Verordening (EU) 2026/1744)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REG-AIA-23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/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B2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Geen verboden praktijk in gebruik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AI-verordening art. 5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REG-AIA-17, REG-CHK-01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/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B3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Deepfakes en AI-tekst over zaken van algemeen belang zonder menselijke redactie zijn als AI gemeld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AI-verordening art. 50, lid 4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REG-AIA-34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/>
        </w:tc>
      </w:tr>
    </w:tbl>
    <w:p>
      <w:pPr>
        <w:keepNext/>
        <w:spacing w:before="160" w:after="40"/>
      </w:pPr>
      <w:r>
        <w:rPr>
          <w:rFonts w:ascii="Montserrat" w:hAnsi="Montserrat" w:eastAsia="Montserrat" w:cs="Montserrat"/>
          <w:b/>
          <w:i w:val="0"/>
          <w:sz w:val="20"/>
        </w:rPr>
        <w:t>C  Hoog risico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12" w:space="0" w:color="000000"/>
          <w:bottom w:val="single" w:sz="12" w:space="0" w:color="000000"/>
          <w:insideH w:val="single" w:sz="4" w:space="0" w:color="CCCCCC"/>
          <w:left w:val="nil" w:sz="0" w:space="0" w:color="FFFFFF"/>
          <w:right w:val="nil" w:sz="0" w:space="0" w:color="FFFFFF"/>
          <w:insideV w:val="nil" w:sz="0" w:space="0" w:color="FFFFFF"/>
        </w:tblBorders>
      </w:tblPr>
      <w:tblGrid>
        <w:gridCol w:w="567"/>
        <w:gridCol w:w="4082"/>
        <w:gridCol w:w="2268"/>
        <w:gridCol w:w="1474"/>
        <w:gridCol w:w="624"/>
        <w:gridCol w:w="624"/>
        <w:gridCol w:w="624"/>
        <w:gridCol w:w="4535"/>
      </w:tblGrid>
      <w:tr>
        <w:tc>
          <w:tcPr>
            <w:tcW w:type="dxa" w:w="567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Nr</w:t>
            </w:r>
          </w:p>
        </w:tc>
        <w:tc>
          <w:tcPr>
            <w:tcW w:type="dxa" w:w="4082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Vraag of plicht</w:t>
            </w:r>
          </w:p>
        </w:tc>
        <w:tc>
          <w:tcPr>
            <w:tcW w:type="dxa" w:w="2268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Artikel</w:t>
            </w:r>
          </w:p>
        </w:tc>
        <w:tc>
          <w:tcPr>
            <w:tcW w:type="dxa" w:w="1474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Bron-ID</w:t>
            </w:r>
          </w:p>
        </w:tc>
        <w:tc>
          <w:tcPr>
            <w:tcW w:type="dxa" w:w="624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ja</w:t>
            </w:r>
          </w:p>
        </w:tc>
        <w:tc>
          <w:tcPr>
            <w:tcW w:type="dxa" w:w="624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nee</w:t>
            </w:r>
          </w:p>
        </w:tc>
        <w:tc>
          <w:tcPr>
            <w:tcW w:type="dxa" w:w="624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n.v.t.</w:t>
            </w:r>
          </w:p>
        </w:tc>
        <w:tc>
          <w:tcPr>
            <w:tcW w:type="dxa" w:w="4535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E  Bewijs en eigenaar</w:t>
            </w:r>
          </w:p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C1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Het systeem wordt gebruikt volgens de gebruiksaanwijzing van de aanbieder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AI-verordening art. 26, lid 1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REG-AIA-50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/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C2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Menselijk toezicht door mensen met de nodige kennis, opleiding en bevoegdheid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AI-verordening art. 26, lid 2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REG-AIA-26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/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C3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Inputgegevens zijn relevant en voldoende representatief voor het doel, voor zover wij ze beheren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AI-verordening art. 26, lid 4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REG-AIA-51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/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C4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Werking gemonitord; risico's en ernstige incidenten gemeld; gebruik zo nodig stopgezet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AI-verordening art. 26, lid 5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REG-AIA-52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/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C5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De automatisch gemaakte logs worden minstens zes maanden bewaard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AI-verordening art. 26, lid 6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REG-AIA-27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/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C6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Werknemersvertegenwoordiging en betrokken werknemers zijn vóór het gebruik geïnformeerd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AI-verordening art. 26, lid 7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REG-AIA-28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/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C7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Mensen over wie met hulp van het systeem besluiten worden genomen, zijn geïnformeerd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AI-verordening art. 26, lid 11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REG-AIA-53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/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C8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Op verzoek geven we uitleg over de rol van het systeem in een besluit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AI-verordening art. 86, lid 1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REG-AIA-35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/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C9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Grondrechteneffectbeoordeling (FRIA) gedaan waar die geldt: kredietbeoordeling, levens- en ziektekostenverzekering, overheid en private aanbieders van publieke diensten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AI-verordening art. 27, lid 1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REG-AIA-29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/>
        </w:tc>
      </w:tr>
    </w:tbl>
    <w:p>
      <w:pPr>
        <w:keepNext/>
        <w:spacing w:before="160" w:after="40"/>
      </w:pPr>
      <w:r>
        <w:rPr>
          <w:rFonts w:ascii="Montserrat" w:hAnsi="Montserrat" w:eastAsia="Montserrat" w:cs="Montserrat"/>
          <w:b/>
          <w:i w:val="0"/>
          <w:sz w:val="20"/>
        </w:rPr>
        <w:t>D  AVG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12" w:space="0" w:color="000000"/>
          <w:bottom w:val="single" w:sz="12" w:space="0" w:color="000000"/>
          <w:insideH w:val="single" w:sz="4" w:space="0" w:color="CCCCCC"/>
          <w:left w:val="nil" w:sz="0" w:space="0" w:color="FFFFFF"/>
          <w:right w:val="nil" w:sz="0" w:space="0" w:color="FFFFFF"/>
          <w:insideV w:val="nil" w:sz="0" w:space="0" w:color="FFFFFF"/>
        </w:tblBorders>
      </w:tblPr>
      <w:tblGrid>
        <w:gridCol w:w="567"/>
        <w:gridCol w:w="4082"/>
        <w:gridCol w:w="2268"/>
        <w:gridCol w:w="1474"/>
        <w:gridCol w:w="624"/>
        <w:gridCol w:w="624"/>
        <w:gridCol w:w="624"/>
        <w:gridCol w:w="4535"/>
      </w:tblGrid>
      <w:tr>
        <w:tc>
          <w:tcPr>
            <w:tcW w:type="dxa" w:w="567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Nr</w:t>
            </w:r>
          </w:p>
        </w:tc>
        <w:tc>
          <w:tcPr>
            <w:tcW w:type="dxa" w:w="4082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Vraag of plicht</w:t>
            </w:r>
          </w:p>
        </w:tc>
        <w:tc>
          <w:tcPr>
            <w:tcW w:type="dxa" w:w="2268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Artikel</w:t>
            </w:r>
          </w:p>
        </w:tc>
        <w:tc>
          <w:tcPr>
            <w:tcW w:type="dxa" w:w="1474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Bron-ID</w:t>
            </w:r>
          </w:p>
        </w:tc>
        <w:tc>
          <w:tcPr>
            <w:tcW w:type="dxa" w:w="624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ja</w:t>
            </w:r>
          </w:p>
        </w:tc>
        <w:tc>
          <w:tcPr>
            <w:tcW w:type="dxa" w:w="624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nee</w:t>
            </w:r>
          </w:p>
        </w:tc>
        <w:tc>
          <w:tcPr>
            <w:tcW w:type="dxa" w:w="624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n.v.t.</w:t>
            </w:r>
          </w:p>
        </w:tc>
        <w:tc>
          <w:tcPr>
            <w:tcW w:type="dxa" w:w="4535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E  Bewijs en eigenaar</w:t>
            </w:r>
          </w:p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D1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Er is een grondslag voor elke verwerking van persoonsgegevens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AVG art. 6, lid 1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REG-GDPR-01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/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D2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We gebruiken niet meer persoonsgegevens dan nodig (minimale gegevensverwerking)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AVG art. 5, lid 1, onder c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REG-GDPR-17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/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D3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Er is een verwerkersovereenkomst met de leverancier die persoonsgegevens voor ons verwerkt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AVG art. 28, lid 3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REG-GDPR-18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/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D4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DPIA-toets gedaan: een DPIA is nodig bij waarschijnlijk hoog risico; vuistregel van de AP: twee of meer van de negen criteria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AVG art. 35, lid 1 en 3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REG-GDPR-07, REG-GDPR-08, REG-GDPR-09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/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D5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Geen besluit met rechtsgevolg of vergelijkbaar gevolg dat uitsluitend op geautomatiseerde verwerking berust, tenzij een uitzondering en de waarborgen gelden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AVG art. 22, lid 1 en 3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REG-GDPR-12, REG-GDPR-13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/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D6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Mensen krijgen informatie over geautomatiseerde besluitvorming en de onderliggende logica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AVG art. 13, lid 2, onder f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REG-GDPR-22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/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D7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Het verwerkingsregister is bijgewerkt (de vrijstelling onder 250 medewerkers geldt niet als je niet incidenteel verwerkt)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AVG art. 30, lid 5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REG-GDPR-20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/>
        </w:tc>
      </w:tr>
    </w:tbl>
    <w:p>
      <w:pPr>
        <w:spacing w:before="160" w:after="40"/>
      </w:pPr>
      <w:r>
        <w:rPr>
          <w:rFonts w:ascii="Montserrat" w:hAnsi="Montserrat" w:eastAsia="Montserrat" w:cs="Montserrat"/>
          <w:b/>
          <w:i w:val="0"/>
          <w:sz w:val="20"/>
        </w:rPr>
        <w:t>F  Datum en volgende controle</w:t>
      </w:r>
    </w:p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F1  </w:t>
      </w:r>
      <w:r>
        <w:rPr>
          <w:rFonts w:ascii="Source Sans 3" w:hAnsi="Source Sans 3" w:eastAsia="Source Sans 3" w:cs="Source Sans 3"/>
          <w:b/>
          <w:i w:val="0"/>
          <w:sz w:val="19"/>
        </w:rPr>
        <w:t>Datum van deze controle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14797"/>
      </w:tblGrid>
      <w:tr>
        <w:trPr>
          <w:trHeight w:val="480" w:hRule="atLeast"/>
        </w:trPr>
        <w:tc>
          <w:tcPr>
            <w:tcW w:type="dxa" w:w="14797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F2  </w:t>
      </w:r>
      <w:r>
        <w:rPr>
          <w:rFonts w:ascii="Source Sans 3" w:hAnsi="Source Sans 3" w:eastAsia="Source Sans 3" w:cs="Source Sans 3"/>
          <w:b/>
          <w:i w:val="0"/>
          <w:sz w:val="19"/>
        </w:rPr>
        <w:t>Volgende controle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14797"/>
      </w:tblGrid>
      <w:tr>
        <w:trPr>
          <w:trHeight w:val="480" w:hRule="atLeast"/>
        </w:trPr>
        <w:tc>
          <w:tcPr>
            <w:tcW w:type="dxa" w:w="14797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</w:tbl>
    <w:p>
      <w:pPr>
        <w:spacing w:before="160" w:after="0"/>
      </w:pPr>
      <w:r>
        <w:rPr>
          <w:rFonts w:ascii="Source Sans 3" w:hAnsi="Source Sans 3" w:eastAsia="Source Sans 3" w:cs="Source Sans 3"/>
          <w:b w:val="0"/>
          <w:i w:val="0"/>
          <w:color w:val="666666"/>
          <w:sz w:val="15"/>
        </w:rPr>
        <w:t>Gebaseerd op Verordening (EU) 2024/1689 (AI-verordening), zoals gewijzigd door Verordening (EU) 2026/1744, en Verordening (EU) 2016/679 (AVG). Bron-ID's verwijzen naar de bronnenlijst van het boek. Vanaf wanneer een plicht geldt: zie bijlage A.</w:t>
      </w:r>
    </w:p>
    <w:sectPr w:rsidR="00FC693F" w:rsidRPr="0006063C" w:rsidSect="00034616">
      <w:footerReference w:type="default" r:id="rId9"/>
      <w:pgSz w:w="16838" w:h="11906" w:orient="landscape"/>
      <w:pgMar w:top="794" w:right="1020" w:bottom="907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0" w:color="000000"/>
      </w:pBdr>
      <w:tabs>
        <w:tab w:pos="14797" w:val="right"/>
      </w:tabs>
    </w:pPr>
    <w:r>
      <w:rPr>
        <w:rFonts w:ascii="Source Sans 3" w:hAnsi="Source Sans 3" w:eastAsia="Source Sans 3" w:cs="Source Sans 3"/>
        <w:b w:val="0"/>
        <w:i w:val="0"/>
        <w:sz w:val="15"/>
      </w:rPr>
      <w:t>Template T10 · AVG- en AI Act-checklist · Zo voer je AI in, Nederlandse editie · Peildatum 2026-10-28 · Download: zovoerjeaiin.nl/T10 · Versie 2026-10 · Geen juridisch advies</w:t>
    </w:r>
    <w:r>
      <w:rPr>
        <w:rFonts w:ascii="Source Sans 3" w:hAnsi="Source Sans 3" w:eastAsia="Source Sans 3" w:cs="Source Sans 3"/>
        <w:b w:val="0"/>
        <w:i w:val="0"/>
        <w:sz w:val="15"/>
      </w:rPr>
      <w:tab/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PAGE </w:instrText>
      <w:fldChar w:fldCharType="end"/>
    </w:r>
    <w:r>
      <w:rPr>
        <w:rFonts w:ascii="Source Sans 3" w:hAnsi="Source Sans 3" w:eastAsia="Source Sans 3" w:cs="Source Sans 3"/>
        <w:b w:val="0"/>
        <w:i w:val="0"/>
        <w:sz w:val="15"/>
      </w:rPr>
      <w:t>/</w:t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NUMPAGES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Source Sans 3" w:hAnsi="Source Sans 3" w:eastAsia="Source Sans 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T10 AVG- en AI Act-checklist</dc:title>
  <dc:subject>Zo voer je AI in, Nederlandse editie</dc:subject>
  <dc:creator>Zo voer je AI in</dc:creator>
  <cp:keywords>template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