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Montserrat" w:hAnsi="Montserrat" w:eastAsia="Montserrat" w:cs="Montserrat"/>
          <w:b/>
          <w:i w:val="0"/>
          <w:caps/>
          <w:color w:val="666666"/>
          <w:sz w:val="16"/>
        </w:rPr>
        <w:t>Template T10</w:t>
      </w:r>
      <w:r>
        <w:rPr>
          <w:rFonts w:ascii="Montserrat" w:hAnsi="Montserrat" w:eastAsia="Montserrat" w:cs="Montserrat"/>
          <w:b/>
          <w:i w:val="0"/>
          <w:caps/>
          <w:sz w:val="16"/>
        </w:rPr>
        <w:t xml:space="preserve">   ·   Voorbeeld</w:t>
      </w:r>
    </w:p>
    <w:p>
      <w:pPr>
        <w:spacing w:before="0" w:after="80"/>
      </w:pPr>
      <w:r>
        <w:rPr>
          <w:rFonts w:ascii="Montserrat" w:hAnsi="Montserrat" w:eastAsia="Montserrat" w:cs="Montserrat"/>
          <w:b/>
          <w:i w:val="0"/>
          <w:sz w:val="34"/>
        </w:rPr>
        <w:t>AVG- en AI Act-checklist</w:t>
      </w:r>
    </w:p>
    <w:p>
      <w:pPr>
        <w:spacing w:before="0" w:after="80"/>
      </w:pPr>
      <w:r>
        <w:rPr>
          <w:rFonts w:ascii="Source Sans 3" w:hAnsi="Source Sans 3" w:eastAsia="Source Sans 3" w:cs="Source Sans 3"/>
          <w:b w:val="0"/>
          <w:i w:val="0"/>
          <w:sz w:val="19"/>
        </w:rPr>
        <w:t>Per toepassing: bij A beantwoord je de vraag, bij B, C en D kruis je aan of het geregeld is. C alleen als A4 ja is. De download noemt per regel artikel en bron. Ingevuld voorbeeld in 8.4.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E6E6E6"/>
            <w:tcMar>
              <w:top w:w="60" w:type="dxa"/>
              <w:bottom w:w="60" w:type="dxa"/>
              <w:start w:w="100" w:type="dxa"/>
              <w:end w:w="10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caps/>
                <w:sz w:val="16"/>
              </w:rPr>
              <w:t xml:space="preserve">Voorbeeld 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8"/>
              </w:rPr>
              <w:t>Ingevuld voor Lindewerf Technische Groothandel, een fictief voorbeeldbedrijf. Alle namen en cijfers zijn verzonnen (voorbeeldcijfers).</w:t>
            </w:r>
          </w:p>
        </w:tc>
      </w:tr>
    </w:tbl>
    <w:p>
      <w:pPr>
        <w:spacing w:before="80" w:after="0"/>
      </w:pPr>
      <w:r>
        <w:rPr>
          <w:rFonts w:ascii="Source Sans 3" w:hAnsi="Source Sans 3" w:eastAsia="Source Sans 3" w:cs="Source Sans 3"/>
          <w:b/>
          <w:i w:val="0"/>
          <w:sz w:val="20"/>
        </w:rPr>
        <w:t>Toepassing: voorselectie van cv's (R-03), aangevraagd door HR. Uitkomst: in de wacht.</w:t>
      </w:r>
    </w:p>
    <w:p>
      <w:pPr>
        <w:keepNext/>
        <w:spacing w:before="160" w:after="40"/>
      </w:pPr>
      <w:r>
        <w:rPr>
          <w:rFonts w:ascii="Montserrat" w:hAnsi="Montserrat" w:eastAsia="Montserrat" w:cs="Montserrat"/>
          <w:b/>
          <w:i w:val="0"/>
          <w:sz w:val="20"/>
        </w:rPr>
        <w:t>A  Rol en risicoklasse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12" w:space="0" w:color="000000"/>
          <w:bottom w:val="single" w:sz="12" w:space="0" w:color="000000"/>
          <w:insideH w:val="single" w:sz="4" w:space="0" w:color="CCCCCC"/>
          <w:left w:val="nil" w:sz="0" w:space="0" w:color="FFFFFF"/>
          <w:right w:val="nil" w:sz="0" w:space="0" w:color="FFFFFF"/>
          <w:insideV w:val="nil" w:sz="0" w:space="0" w:color="FFFFFF"/>
        </w:tblBorders>
      </w:tblPr>
      <w:tblGrid>
        <w:gridCol w:w="567"/>
        <w:gridCol w:w="4082"/>
        <w:gridCol w:w="2268"/>
        <w:gridCol w:w="1474"/>
        <w:gridCol w:w="624"/>
        <w:gridCol w:w="624"/>
        <w:gridCol w:w="624"/>
        <w:gridCol w:w="4535"/>
      </w:tblGrid>
      <w:tr>
        <w:tc>
          <w:tcPr>
            <w:tcW w:type="dxa" w:w="567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Nr</w:t>
            </w:r>
          </w:p>
        </w:tc>
        <w:tc>
          <w:tcPr>
            <w:tcW w:type="dxa" w:w="4082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Vraag of plicht</w:t>
            </w:r>
          </w:p>
        </w:tc>
        <w:tc>
          <w:tcPr>
            <w:tcW w:type="dxa" w:w="2268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Artikel</w:t>
            </w:r>
          </w:p>
        </w:tc>
        <w:tc>
          <w:tcPr>
            <w:tcW w:type="dxa" w:w="1474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Bron-ID</w:t>
            </w:r>
          </w:p>
        </w:tc>
        <w:tc>
          <w:tcPr>
            <w:tcW w:type="dxa" w:w="624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ja</w:t>
            </w:r>
          </w:p>
        </w:tc>
        <w:tc>
          <w:tcPr>
            <w:tcW w:type="dxa" w:w="624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nee</w:t>
            </w:r>
          </w:p>
        </w:tc>
        <w:tc>
          <w:tcPr>
            <w:tcW w:type="dxa" w:w="624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n.v.t.</w:t>
            </w:r>
          </w:p>
        </w:tc>
        <w:tc>
          <w:tcPr>
            <w:tcW w:type="dxa" w:w="4535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E  Bewijs en eigenaar</w:t>
            </w:r>
          </w:p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A1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Zijn we gebruiksverantwoordelijke (we gebruiken het systeem onder eigen verantwoordelijkheid) en geen aanbieder (we ontwikkelen het niet en brengen het niet onder eigen naam op de markt)?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AI-verordening art. 3, punt 3 en 4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REG-AIA-14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☑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4535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8"/>
              </w:rPr>
              <w:t>gebruiksverantwoordelijke  ·  Joost</w:t>
            </w:r>
          </w:p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A2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Worden we toch aanbieder? Dat gebeurt als we onze naam op een hoog-risicosysteem zetten, het wezenlijk wijzigen of een algemeen AI-systeem inzetten voor een hoog-risicotoepassing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AI-verordening art. 25, lid 1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REG-AIA-30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☑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4535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8"/>
              </w:rPr>
              <w:t>we passen de tool niet aan  ·  Joost</w:t>
            </w:r>
          </w:p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A3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Is het een verboden toepassing, zoals emoties van werknemers herkennen?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AI-verordening art. 5, lid 1, onder f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REG-AIA-17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☑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4535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8"/>
              </w:rPr>
              <w:t>de tool herkent geen emoties  ·  Bas</w:t>
            </w:r>
          </w:p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A4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Valt de toepassing onder bijlage III, zoals werving en selectie of kredietbeoordeling? Een smalle of voorbereidende taak zonder profilering kan een uitzondering zijn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AI-verordening bijlage III, punt 4a en 5b–c; art. 6, lid 3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REG-AIA-20, REG-AIA-21, REG-AIA-22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☑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4535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8"/>
              </w:rPr>
              <w:t>bijlage III, punt 4(a): hoog risico  ·  Bas</w:t>
            </w:r>
          </w:p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A5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Geldt een transparantieplicht? Bieden we zelf een chatbot aan onder eigen naam (dan zijn we aanbieder, art. 50, lid 1), of publiceren we deepfakes of AI-tekst over zaken van algemeen belang (art. 50, lid 4)?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AI-verordening art. 50, lid 1 en 4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REG-AIA-33, REG-AIA-34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☑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4535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8"/>
              </w:rPr>
              <w:t xml:space="preserve">  ·  Bas</w:t>
            </w:r>
          </w:p>
        </w:tc>
      </w:tr>
    </w:tbl>
    <w:p>
      <w:pPr>
        <w:keepNext/>
        <w:spacing w:before="160" w:after="40"/>
      </w:pPr>
      <w:r>
        <w:rPr>
          <w:rFonts w:ascii="Montserrat" w:hAnsi="Montserrat" w:eastAsia="Montserrat" w:cs="Montserrat"/>
          <w:b/>
          <w:i w:val="0"/>
          <w:sz w:val="20"/>
        </w:rPr>
        <w:t>B  Plichten voor iedereen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12" w:space="0" w:color="000000"/>
          <w:bottom w:val="single" w:sz="12" w:space="0" w:color="000000"/>
          <w:insideH w:val="single" w:sz="4" w:space="0" w:color="CCCCCC"/>
          <w:left w:val="nil" w:sz="0" w:space="0" w:color="FFFFFF"/>
          <w:right w:val="nil" w:sz="0" w:space="0" w:color="FFFFFF"/>
          <w:insideV w:val="nil" w:sz="0" w:space="0" w:color="FFFFFF"/>
        </w:tblBorders>
      </w:tblPr>
      <w:tblGrid>
        <w:gridCol w:w="567"/>
        <w:gridCol w:w="4082"/>
        <w:gridCol w:w="2268"/>
        <w:gridCol w:w="1474"/>
        <w:gridCol w:w="624"/>
        <w:gridCol w:w="624"/>
        <w:gridCol w:w="624"/>
        <w:gridCol w:w="4535"/>
      </w:tblGrid>
      <w:tr>
        <w:tc>
          <w:tcPr>
            <w:tcW w:type="dxa" w:w="567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Nr</w:t>
            </w:r>
          </w:p>
        </w:tc>
        <w:tc>
          <w:tcPr>
            <w:tcW w:type="dxa" w:w="4082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Vraag of plicht</w:t>
            </w:r>
          </w:p>
        </w:tc>
        <w:tc>
          <w:tcPr>
            <w:tcW w:type="dxa" w:w="2268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Artikel</w:t>
            </w:r>
          </w:p>
        </w:tc>
        <w:tc>
          <w:tcPr>
            <w:tcW w:type="dxa" w:w="1474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Bron-ID</w:t>
            </w:r>
          </w:p>
        </w:tc>
        <w:tc>
          <w:tcPr>
            <w:tcW w:type="dxa" w:w="624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ja</w:t>
            </w:r>
          </w:p>
        </w:tc>
        <w:tc>
          <w:tcPr>
            <w:tcW w:type="dxa" w:w="624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nee</w:t>
            </w:r>
          </w:p>
        </w:tc>
        <w:tc>
          <w:tcPr>
            <w:tcW w:type="dxa" w:w="624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n.v.t.</w:t>
            </w:r>
          </w:p>
        </w:tc>
        <w:tc>
          <w:tcPr>
            <w:tcW w:type="dxa" w:w="4535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E  Bewijs en eigenaar</w:t>
            </w:r>
          </w:p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B1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Maatregelen genomen om de AI-geletterdheid te ondersteunen van wie met het systeem werkt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AI-verordening art. 4 (gewijzigd door Verordening (EU) 2026/1744)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REG-AIA-23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☑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4535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8"/>
              </w:rPr>
              <w:t>geregeld in het AI-beleid  ·  Joost</w:t>
            </w:r>
          </w:p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B2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Geen verboden praktijk in gebruik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AI-verordening art. 5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REG-AIA-17, REG-CHK-01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☑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4535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8"/>
              </w:rPr>
              <w:t>de tool herkent geen emoties  ·  Bas</w:t>
            </w:r>
          </w:p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B3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Deepfakes en AI-tekst over zaken van algemeen belang zonder menselijke redactie zijn als AI gemeld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AI-verordening art. 50, lid 4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REG-AIA-34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☑</w:t>
            </w:r>
          </w:p>
        </w:tc>
        <w:tc>
          <w:tcPr>
            <w:tcW w:type="dxa" w:w="4535"/>
          </w:tcPr>
          <w:p/>
        </w:tc>
      </w:tr>
    </w:tbl>
    <w:p>
      <w:pPr>
        <w:keepNext/>
        <w:spacing w:before="160" w:after="40"/>
      </w:pPr>
      <w:r>
        <w:rPr>
          <w:rFonts w:ascii="Montserrat" w:hAnsi="Montserrat" w:eastAsia="Montserrat" w:cs="Montserrat"/>
          <w:b/>
          <w:i w:val="0"/>
          <w:sz w:val="20"/>
        </w:rPr>
        <w:t>C  Hoog risico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12" w:space="0" w:color="000000"/>
          <w:bottom w:val="single" w:sz="12" w:space="0" w:color="000000"/>
          <w:insideH w:val="single" w:sz="4" w:space="0" w:color="CCCCCC"/>
          <w:left w:val="nil" w:sz="0" w:space="0" w:color="FFFFFF"/>
          <w:right w:val="nil" w:sz="0" w:space="0" w:color="FFFFFF"/>
          <w:insideV w:val="nil" w:sz="0" w:space="0" w:color="FFFFFF"/>
        </w:tblBorders>
      </w:tblPr>
      <w:tblGrid>
        <w:gridCol w:w="567"/>
        <w:gridCol w:w="4082"/>
        <w:gridCol w:w="2268"/>
        <w:gridCol w:w="1474"/>
        <w:gridCol w:w="624"/>
        <w:gridCol w:w="624"/>
        <w:gridCol w:w="624"/>
        <w:gridCol w:w="4535"/>
      </w:tblGrid>
      <w:tr>
        <w:tc>
          <w:tcPr>
            <w:tcW w:type="dxa" w:w="567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Nr</w:t>
            </w:r>
          </w:p>
        </w:tc>
        <w:tc>
          <w:tcPr>
            <w:tcW w:type="dxa" w:w="4082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Vraag of plicht</w:t>
            </w:r>
          </w:p>
        </w:tc>
        <w:tc>
          <w:tcPr>
            <w:tcW w:type="dxa" w:w="2268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Artikel</w:t>
            </w:r>
          </w:p>
        </w:tc>
        <w:tc>
          <w:tcPr>
            <w:tcW w:type="dxa" w:w="1474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Bron-ID</w:t>
            </w:r>
          </w:p>
        </w:tc>
        <w:tc>
          <w:tcPr>
            <w:tcW w:type="dxa" w:w="624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ja</w:t>
            </w:r>
          </w:p>
        </w:tc>
        <w:tc>
          <w:tcPr>
            <w:tcW w:type="dxa" w:w="624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nee</w:t>
            </w:r>
          </w:p>
        </w:tc>
        <w:tc>
          <w:tcPr>
            <w:tcW w:type="dxa" w:w="624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n.v.t.</w:t>
            </w:r>
          </w:p>
        </w:tc>
        <w:tc>
          <w:tcPr>
            <w:tcW w:type="dxa" w:w="4535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E  Bewijs en eigenaar</w:t>
            </w:r>
          </w:p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C1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Het systeem wordt gebruikt volgens de gebruiksaanwijzing van de aanbieder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AI-verordening art. 26, lid 1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REG-AIA-50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☑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4535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8"/>
              </w:rPr>
              <w:t>nog niet geregeld  ·  Joost</w:t>
            </w:r>
          </w:p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C2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Menselijk toezicht door mensen met de nodige kennis, opleiding en bevoegdheid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AI-verordening art. 26, lid 2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REG-AIA-26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☑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4535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8"/>
              </w:rPr>
              <w:t>nog niet geregeld: wie houdt toezicht?  ·  Joost</w:t>
            </w:r>
          </w:p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C3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Inputgegevens zijn relevant en voldoende representatief voor het doel, voor zover wij ze beheren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AI-verordening art. 26, lid 4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REG-AIA-51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☑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4535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8"/>
              </w:rPr>
              <w:t>nog niet geregeld  ·  Joost</w:t>
            </w:r>
          </w:p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C4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Werking gemonitord; risico's en ernstige incidenten gemeld; gebruik zo nodig stopgezet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AI-verordening art. 26, lid 5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REG-AIA-52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☑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4535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8"/>
              </w:rPr>
              <w:t>nog niet geregeld  ·  Joost</w:t>
            </w:r>
          </w:p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C5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De automatisch gemaakte logs worden minstens zes maanden bewaard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AI-verordening art. 26, lid 6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REG-AIA-27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☑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4535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8"/>
              </w:rPr>
              <w:t>nog niet geregeld  ·  Joost</w:t>
            </w:r>
          </w:p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C6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Werknemersvertegenwoordiging en betrokken werknemers zijn vóór het gebruik geïnformeerd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AI-verordening art. 26, lid 7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REG-AIA-28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☑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4535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8"/>
              </w:rPr>
              <w:t>nog niet geregeld  ·  Joost</w:t>
            </w:r>
          </w:p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C7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Mensen over wie met hulp van het systeem besluiten worden genomen, zijn geïnformeerd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AI-verordening art. 26, lid 11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REG-AIA-53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☑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4535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8"/>
              </w:rPr>
              <w:t>nog niet geregeld  ·  Joost</w:t>
            </w:r>
          </w:p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C8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Op verzoek geven we uitleg over de rol van het systeem in een besluit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AI-verordening art. 86, lid 1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REG-AIA-35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☑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4535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8"/>
              </w:rPr>
              <w:t>nog niet geregeld  ·  Joost</w:t>
            </w:r>
          </w:p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C9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Grondrechteneffectbeoordeling (FRIA) gedaan waar die geldt: kredietbeoordeling, levens- en ziektekostenverzekering, overheid en private aanbieders van publieke diensten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AI-verordening art. 27, lid 1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REG-AIA-29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☑</w:t>
            </w:r>
          </w:p>
        </w:tc>
        <w:tc>
          <w:tcPr>
            <w:tcW w:type="dxa" w:w="4535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8"/>
              </w:rPr>
              <w:t>FRIA niet nodig voor werving  ·  Bas</w:t>
            </w:r>
          </w:p>
        </w:tc>
      </w:tr>
    </w:tbl>
    <w:p>
      <w:pPr>
        <w:keepNext/>
        <w:spacing w:before="160" w:after="40"/>
      </w:pPr>
      <w:r>
        <w:rPr>
          <w:rFonts w:ascii="Montserrat" w:hAnsi="Montserrat" w:eastAsia="Montserrat" w:cs="Montserrat"/>
          <w:b/>
          <w:i w:val="0"/>
          <w:sz w:val="20"/>
        </w:rPr>
        <w:t>D  AVG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12" w:space="0" w:color="000000"/>
          <w:bottom w:val="single" w:sz="12" w:space="0" w:color="000000"/>
          <w:insideH w:val="single" w:sz="4" w:space="0" w:color="CCCCCC"/>
          <w:left w:val="nil" w:sz="0" w:space="0" w:color="FFFFFF"/>
          <w:right w:val="nil" w:sz="0" w:space="0" w:color="FFFFFF"/>
          <w:insideV w:val="nil" w:sz="0" w:space="0" w:color="FFFFFF"/>
        </w:tblBorders>
      </w:tblPr>
      <w:tblGrid>
        <w:gridCol w:w="567"/>
        <w:gridCol w:w="4082"/>
        <w:gridCol w:w="2268"/>
        <w:gridCol w:w="1474"/>
        <w:gridCol w:w="624"/>
        <w:gridCol w:w="624"/>
        <w:gridCol w:w="624"/>
        <w:gridCol w:w="4535"/>
      </w:tblGrid>
      <w:tr>
        <w:tc>
          <w:tcPr>
            <w:tcW w:type="dxa" w:w="567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Nr</w:t>
            </w:r>
          </w:p>
        </w:tc>
        <w:tc>
          <w:tcPr>
            <w:tcW w:type="dxa" w:w="4082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Vraag of plicht</w:t>
            </w:r>
          </w:p>
        </w:tc>
        <w:tc>
          <w:tcPr>
            <w:tcW w:type="dxa" w:w="2268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Artikel</w:t>
            </w:r>
          </w:p>
        </w:tc>
        <w:tc>
          <w:tcPr>
            <w:tcW w:type="dxa" w:w="1474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Bron-ID</w:t>
            </w:r>
          </w:p>
        </w:tc>
        <w:tc>
          <w:tcPr>
            <w:tcW w:type="dxa" w:w="624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ja</w:t>
            </w:r>
          </w:p>
        </w:tc>
        <w:tc>
          <w:tcPr>
            <w:tcW w:type="dxa" w:w="624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nee</w:t>
            </w:r>
          </w:p>
        </w:tc>
        <w:tc>
          <w:tcPr>
            <w:tcW w:type="dxa" w:w="624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n.v.t.</w:t>
            </w:r>
          </w:p>
        </w:tc>
        <w:tc>
          <w:tcPr>
            <w:tcW w:type="dxa" w:w="4535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6"/>
              </w:rPr>
              <w:t>E  Bewijs en eigenaar</w:t>
            </w:r>
          </w:p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D1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Er is een grondslag voor elke verwerking van persoonsgegevens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AVG art. 6, lid 1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REG-GDPR-01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☑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4535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8"/>
              </w:rPr>
              <w:t>grondslag nog niet geregeld  ·  Bas</w:t>
            </w:r>
          </w:p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D2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We gebruiken niet meer persoonsgegevens dan nodig (minimale gegevensverwerking)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AVG art. 5, lid 1, onder c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REG-GDPR-17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☑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4535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8"/>
              </w:rPr>
              <w:t xml:space="preserve">  ·  Bas</w:t>
            </w:r>
          </w:p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D3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Er is een verwerkersovereenkomst met de leverancier die persoonsgegevens voor ons verwerkt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AVG art. 28, lid 3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REG-GDPR-18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☑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4535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8"/>
              </w:rPr>
              <w:t>verwerkersovereenkomst in concept  ·  Bas</w:t>
            </w:r>
          </w:p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D4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DPIA-toets gedaan: een DPIA is nodig bij waarschijnlijk hoog risico; vuistregel van de AP: twee of meer van de negen criteria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AVG art. 35, lid 1 en 3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REG-GDPR-07, REG-GDPR-08, REG-GDPR-09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☑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4535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8"/>
              </w:rPr>
              <w:t>DPIA nog niet geregeld  ·  Bas</w:t>
            </w:r>
          </w:p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D5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Geen besluit met rechtsgevolg of vergelijkbaar gevolg dat uitsluitend op geautomatiseerde verwerking berust, tenzij een uitzondering en de waarborgen gelden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AVG art. 22, lid 1 en 3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REG-GDPR-12, REG-GDPR-13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☑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4535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8"/>
              </w:rPr>
              <w:t xml:space="preserve">  ·  Bas</w:t>
            </w:r>
          </w:p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D6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Mensen krijgen informatie over geautomatiseerde besluitvorming en de onderliggende logica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AVG art. 13, lid 2, onder f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REG-GDPR-22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☑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4535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8"/>
              </w:rPr>
              <w:t xml:space="preserve">  ·  Bas</w:t>
            </w:r>
          </w:p>
        </w:tc>
      </w:tr>
      <w:tr>
        <w:trPr>
          <w:trHeight w:val="400" w:hRule="atLeast"/>
        </w:trPr>
        <w:tc>
          <w:tcPr>
            <w:tcW w:type="dxa" w:w="567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D7</w:t>
            </w:r>
          </w:p>
        </w:tc>
        <w:tc>
          <w:tcPr>
            <w:tcW w:type="dxa" w:w="4082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17"/>
              </w:rPr>
              <w:t>Het verwerkingsregister is bijgewerkt (de vrijstelling onder 250 medewerkers geldt niet als je niet incidenteel verwerkt)</w:t>
            </w:r>
          </w:p>
        </w:tc>
        <w:tc>
          <w:tcPr>
            <w:tcW w:type="dxa" w:w="2268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AVG art. 30, lid 5</w:t>
            </w:r>
          </w:p>
        </w:tc>
        <w:tc>
          <w:tcPr>
            <w:tcW w:type="dxa" w:w="147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>REG-GDPR-20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☑</w:t>
            </w:r>
          </w:p>
        </w:tc>
        <w:tc>
          <w:tcPr>
            <w:tcW w:type="dxa" w:w="624"/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4535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18"/>
              </w:rPr>
              <w:t xml:space="preserve">  ·  Bas</w:t>
            </w:r>
          </w:p>
        </w:tc>
      </w:tr>
    </w:tbl>
    <w:p>
      <w:pPr>
        <w:spacing w:before="160" w:after="40"/>
      </w:pPr>
      <w:r>
        <w:rPr>
          <w:rFonts w:ascii="Montserrat" w:hAnsi="Montserrat" w:eastAsia="Montserrat" w:cs="Montserrat"/>
          <w:b/>
          <w:i w:val="0"/>
          <w:sz w:val="20"/>
        </w:rPr>
        <w:t>F  Datum en volgende controle</w:t>
      </w:r>
    </w:p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F1  </w:t>
      </w:r>
      <w:r>
        <w:rPr>
          <w:rFonts w:ascii="Source Sans 3" w:hAnsi="Source Sans 3" w:eastAsia="Source Sans 3" w:cs="Source Sans 3"/>
          <w:b/>
          <w:i w:val="0"/>
          <w:sz w:val="19"/>
        </w:rPr>
        <w:t>Datum van deze controle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14797"/>
      </w:tblGrid>
      <w:tr>
        <w:trPr>
          <w:trHeight w:val="480" w:hRule="atLeast"/>
        </w:trPr>
        <w:tc>
          <w:tcPr>
            <w:tcW w:type="dxa" w:w="14797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datum van invullen</w:t>
            </w:r>
          </w:p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F2  </w:t>
      </w:r>
      <w:r>
        <w:rPr>
          <w:rFonts w:ascii="Source Sans 3" w:hAnsi="Source Sans 3" w:eastAsia="Source Sans 3" w:cs="Source Sans 3"/>
          <w:b/>
          <w:i w:val="0"/>
          <w:sz w:val="19"/>
        </w:rPr>
        <w:t>Volgende controle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14797"/>
      </w:tblGrid>
      <w:tr>
        <w:trPr>
          <w:trHeight w:val="480" w:hRule="atLeast"/>
        </w:trPr>
        <w:tc>
          <w:tcPr>
            <w:tcW w:type="dxa" w:w="14797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opnieuw bij een nieuwe versie van de aanvraag</w:t>
            </w:r>
          </w:p>
        </w:tc>
      </w:tr>
    </w:tbl>
    <w:p>
      <w:pPr>
        <w:spacing w:before="160" w:after="0"/>
      </w:pPr>
      <w:r>
        <w:rPr>
          <w:rFonts w:ascii="Source Sans 3" w:hAnsi="Source Sans 3" w:eastAsia="Source Sans 3" w:cs="Source Sans 3"/>
          <w:b w:val="0"/>
          <w:i w:val="0"/>
          <w:color w:val="666666"/>
          <w:sz w:val="15"/>
        </w:rPr>
        <w:t>Gebaseerd op Verordening (EU) 2024/1689 (AI-verordening), zoals gewijzigd door Verordening (EU) 2026/1744, en Verordening (EU) 2016/679 (AVG). Bron-ID's verwijzen naar de bronnenlijst van het boek. Vanaf wanneer een plicht geldt: zie bijlage A.</w:t>
      </w:r>
    </w:p>
    <w:sectPr w:rsidR="00FC693F" w:rsidRPr="0006063C" w:rsidSect="00034616">
      <w:footerReference w:type="default" r:id="rId9"/>
      <w:pgSz w:w="16838" w:h="11906" w:orient="landscape"/>
      <w:pgMar w:top="794" w:right="1020" w:bottom="907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0" w:color="000000"/>
      </w:pBdr>
      <w:tabs>
        <w:tab w:pos="14797" w:val="right"/>
      </w:tabs>
    </w:pPr>
    <w:r>
      <w:rPr>
        <w:rFonts w:ascii="Source Sans 3" w:hAnsi="Source Sans 3" w:eastAsia="Source Sans 3" w:cs="Source Sans 3"/>
        <w:b w:val="0"/>
        <w:i w:val="0"/>
        <w:sz w:val="15"/>
      </w:rPr>
      <w:t>Template T10 · AVG- en AI Act-checklist · Zo voer je AI in, Nederlandse editie · Peildatum 2026-10-28 · Download: zovoerjeaiin.nl/T10 · Versie 2026-10 · Geen juridisch advies</w:t>
    </w:r>
    <w:r>
      <w:rPr>
        <w:rFonts w:ascii="Source Sans 3" w:hAnsi="Source Sans 3" w:eastAsia="Source Sans 3" w:cs="Source Sans 3"/>
        <w:b w:val="0"/>
        <w:i w:val="0"/>
        <w:sz w:val="15"/>
      </w:rPr>
      <w:tab/>
    </w:r>
    <w:r>
      <w:rPr>
        <w:rFonts w:ascii="Source Sans 3" w:hAnsi="Source Sans 3" w:eastAsia="Source Sans 3" w:cs="Source Sans 3"/>
        <w:b w:val="0"/>
        <w:i w:val="0"/>
        <w:sz w:val="15"/>
      </w:rPr>
      <w:fldChar w:fldCharType="begin"/>
      <w:instrText xml:space="preserve"> PAGE </w:instrText>
      <w:fldChar w:fldCharType="end"/>
    </w:r>
    <w:r>
      <w:rPr>
        <w:rFonts w:ascii="Source Sans 3" w:hAnsi="Source Sans 3" w:eastAsia="Source Sans 3" w:cs="Source Sans 3"/>
        <w:b w:val="0"/>
        <w:i w:val="0"/>
        <w:sz w:val="15"/>
      </w:rPr>
      <w:t>/</w:t>
    </w:r>
    <w:r>
      <w:rPr>
        <w:rFonts w:ascii="Source Sans 3" w:hAnsi="Source Sans 3" w:eastAsia="Source Sans 3" w:cs="Source Sans 3"/>
        <w:b w:val="0"/>
        <w:i w:val="0"/>
        <w:sz w:val="15"/>
      </w:rPr>
      <w:fldChar w:fldCharType="begin"/>
      <w:instrText xml:space="preserve"> NUMPAGES </w:instrText>
      <w:fldChar w:fldCharType="end"/>
    </w:r>
  </w:p>
  <w:p>
    <w:r>
      <w:rPr>
        <w:rFonts w:ascii="Source Sans 3" w:hAnsi="Source Sans 3" w:eastAsia="Source Sans 3" w:cs="Source Sans 3"/>
        <w:b w:val="0"/>
        <w:i w:val="0"/>
        <w:color w:val="666666"/>
        <w:sz w:val="15"/>
      </w:rPr>
      <w:t>Ingevuld voor Lindewerf Technische Groothandel, een fictief voorbeeldbedrijf. Alle namen en cijfers zijn verzonnen (voorbeeldcijfers).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Source Sans 3" w:hAnsi="Source Sans 3" w:eastAsia="Source Sans 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T10 AVG- en AI Act-checklist (voorbeeld)</dc:title>
  <dc:subject>Zo voer je AI in, Nederlandse editie</dc:subject>
  <dc:creator>Zo voer je AI in</dc:creator>
  <cp:keywords>template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